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600" w:rsidRPr="00732A4F" w:rsidRDefault="00C46600" w:rsidP="00732A4F">
      <w:r w:rsidRPr="00732A4F">
        <w:t>Name</w:t>
      </w:r>
    </w:p>
    <w:p w:rsidR="00C46600" w:rsidRPr="00732A4F" w:rsidRDefault="00C46600" w:rsidP="00732A4F">
      <w:r w:rsidRPr="00732A4F">
        <w:t>Tutor</w:t>
      </w:r>
    </w:p>
    <w:p w:rsidR="00C46600" w:rsidRPr="00732A4F" w:rsidRDefault="00C46600" w:rsidP="00732A4F">
      <w:r w:rsidRPr="00732A4F">
        <w:t>Course</w:t>
      </w:r>
    </w:p>
    <w:p w:rsidR="00C46600" w:rsidRPr="00732A4F" w:rsidRDefault="00C46600" w:rsidP="00732A4F">
      <w:r w:rsidRPr="00732A4F">
        <w:t>Date</w:t>
      </w:r>
    </w:p>
    <w:p w:rsidR="00C46600" w:rsidRPr="00732A4F" w:rsidRDefault="00C46600" w:rsidP="00732A4F">
      <w:pPr>
        <w:jc w:val="center"/>
      </w:pPr>
      <w:r w:rsidRPr="00732A4F">
        <w:t>Mobility as a Social Inequality</w:t>
      </w:r>
    </w:p>
    <w:p w:rsidR="007F3814" w:rsidRPr="00732A4F" w:rsidRDefault="008369E9" w:rsidP="00732A4F">
      <w:pPr>
        <w:ind w:firstLine="720"/>
      </w:pPr>
      <w:r w:rsidRPr="00732A4F">
        <w:t xml:space="preserve">Economic mobility refers to the ability of a person or family to improve their income and social status in an individual lifetime or across generations. Economic inequality is among the most critical forms of social inequality as it affects people across gender, ethnic and national backgrounds. Growing inequalities in income and wealth </w:t>
      </w:r>
      <w:r w:rsidR="00F81686" w:rsidRPr="00732A4F">
        <w:t>in the United States</w:t>
      </w:r>
      <w:r w:rsidRPr="00732A4F">
        <w:t xml:space="preserve"> in recent decades have led to vastly reduced economic mobility. The world now has a minority of wealthy people and a majority of people in poverty, with another substantial group classified as the middle class. The rewards for success and penalties for failure respectively are unreasonably large</w:t>
      </w:r>
      <w:r w:rsidR="00732A4F" w:rsidRPr="00732A4F">
        <w:t xml:space="preserve"> (Ruane &amp; Cerulo, 249)</w:t>
      </w:r>
      <w:r w:rsidRPr="00732A4F">
        <w:t xml:space="preserve">. It means that those born into wealthy families are likely to maintain their position even without significant effort while those born into poor families are likely to remain in poverty despite their efforts to improve the financial situation. This illustrates the importance of assessing economic mobility as a critical form of social inequality. The most effective means of ensuring economic mobility is through strong education systems since children have greater ability to overcome social disadvantages they were born with. Ruane </w:t>
      </w:r>
      <w:r w:rsidR="00C46600" w:rsidRPr="00732A4F">
        <w:t xml:space="preserve">and Cerulo </w:t>
      </w:r>
      <w:r w:rsidRPr="00732A4F">
        <w:t>explain that as income decreases, so does the percentage of students who both expect to attend and enroll in college</w:t>
      </w:r>
      <w:r w:rsidR="00C46600" w:rsidRPr="00732A4F">
        <w:t xml:space="preserve"> (</w:t>
      </w:r>
      <w:r w:rsidR="00055B24" w:rsidRPr="00732A4F">
        <w:t>Ruane</w:t>
      </w:r>
      <w:r w:rsidR="00C46600" w:rsidRPr="00732A4F">
        <w:t xml:space="preserve"> &amp; Cerulo</w:t>
      </w:r>
      <w:r w:rsidR="00055B24" w:rsidRPr="00732A4F">
        <w:t>, 247)</w:t>
      </w:r>
      <w:r w:rsidRPr="00732A4F">
        <w:t xml:space="preserve">. </w:t>
      </w:r>
      <w:r w:rsidR="00055B24" w:rsidRPr="00732A4F">
        <w:t>It means that lack of economic mobility gives way to lack of economic mobility for the next generation, thereby preserving the financial disparities in society over the long-term.</w:t>
      </w:r>
    </w:p>
    <w:p w:rsidR="004A4A52" w:rsidRPr="00732A4F" w:rsidRDefault="00335C10" w:rsidP="00732A4F">
      <w:pPr>
        <w:ind w:firstLine="720"/>
      </w:pPr>
      <w:r w:rsidRPr="00732A4F">
        <w:lastRenderedPageBreak/>
        <w:t xml:space="preserve">Absolute mobility refers to the overall observed movement of people between classes while relative mobility refers to the movement of individuals upward or downward compared to others in their group. Absolute </w:t>
      </w:r>
      <w:r w:rsidR="00A662B3" w:rsidRPr="00732A4F">
        <w:t>mobility defines how an entire social group experiences mobility compared to previous generations of the same social group. An example is how median income may increase between generations to create a better standard of living. Relative mobility defines how an individual in a social group can access opportunities when compared to whether this individual was in earlier social groups</w:t>
      </w:r>
      <w:r w:rsidR="00732A4F" w:rsidRPr="00732A4F">
        <w:t xml:space="preserve"> (The Duke and the Duck, 2012)</w:t>
      </w:r>
      <w:r w:rsidR="00A662B3" w:rsidRPr="00732A4F">
        <w:t>. An example is an individual who earns an income of $30,000 then a decade earns $40,000. If this individual experiences this income increase while others do not experience similar increases, the individual has undergone upward absolute and relative mobility. However if others gain larger income increments during this period, the individual has undergone upward absolute mobility but downward relative mobility. This is because the group as a whole has undergone improvements but the individual has remained at the bottom of the group.</w:t>
      </w:r>
    </w:p>
    <w:p w:rsidR="00335C10" w:rsidRPr="00732A4F" w:rsidRDefault="004A4A52" w:rsidP="00732A4F">
      <w:pPr>
        <w:ind w:firstLine="720"/>
      </w:pPr>
      <w:r w:rsidRPr="00732A4F">
        <w:t xml:space="preserve">It </w:t>
      </w:r>
      <w:r w:rsidR="00FD5854" w:rsidRPr="00732A4F">
        <w:t>matters how we measure mobility since social mobility can be driven by economic, social, human and cultural factors. Economic mobility is measured by the ability of an individual or social group to improve their financial position and gain equal access to economic resources. Social measurements of mobility involve the advantages associated with specific social networks, such as expanded educational access for the high income social classes. Human measurements of mobility refer to individual traits which have an impact on ability to attain success in education and in a career. Cultural measurements of mobility involve the advantages or disadvantages conferred by the group which an individual belongs to</w:t>
      </w:r>
      <w:r w:rsidR="00732A4F" w:rsidRPr="00732A4F">
        <w:t xml:space="preserve"> (Denzin, 24)</w:t>
      </w:r>
      <w:r w:rsidR="00FD5854" w:rsidRPr="00732A4F">
        <w:t>. This includes educational and income</w:t>
      </w:r>
      <w:r w:rsidR="00335C10" w:rsidRPr="00732A4F">
        <w:t xml:space="preserve"> </w:t>
      </w:r>
      <w:r w:rsidR="00FD5854" w:rsidRPr="00732A4F">
        <w:t xml:space="preserve">advantages and disadvantages of high income and low income classes respectively. </w:t>
      </w:r>
      <w:r w:rsidR="00B54DDB" w:rsidRPr="00732A4F">
        <w:t xml:space="preserve">How we measure mobility matters as society experiences larger disparities </w:t>
      </w:r>
      <w:r w:rsidR="00B54DDB" w:rsidRPr="00732A4F">
        <w:lastRenderedPageBreak/>
        <w:t>with each generation. In my experience, people who are born into poor families find it difficult to improve their financial situation because they come to a conclusion that it is simply how society is constructed. They assume that relative mobility is not possible as society protects the stickiness aspect of social groups.</w:t>
      </w:r>
    </w:p>
    <w:p w:rsidR="00732A4F" w:rsidRDefault="00732A4F" w:rsidP="00732A4F">
      <w:pPr>
        <w:tabs>
          <w:tab w:val="left" w:pos="2805"/>
        </w:tabs>
        <w:jc w:val="center"/>
      </w:pPr>
    </w:p>
    <w:p w:rsidR="00732A4F" w:rsidRDefault="00732A4F" w:rsidP="00732A4F">
      <w:pPr>
        <w:tabs>
          <w:tab w:val="left" w:pos="2805"/>
        </w:tabs>
        <w:jc w:val="center"/>
      </w:pPr>
    </w:p>
    <w:p w:rsidR="00732A4F" w:rsidRDefault="00732A4F" w:rsidP="00732A4F">
      <w:pPr>
        <w:tabs>
          <w:tab w:val="left" w:pos="2805"/>
        </w:tabs>
        <w:jc w:val="center"/>
      </w:pPr>
    </w:p>
    <w:p w:rsidR="00C46600" w:rsidRPr="00732A4F" w:rsidRDefault="00C46600" w:rsidP="00732A4F">
      <w:pPr>
        <w:tabs>
          <w:tab w:val="left" w:pos="2805"/>
        </w:tabs>
        <w:jc w:val="center"/>
      </w:pPr>
      <w:r w:rsidRPr="00732A4F">
        <w:t>References</w:t>
      </w:r>
    </w:p>
    <w:p w:rsidR="00C46600" w:rsidRPr="00732A4F" w:rsidRDefault="00C46600" w:rsidP="00732A4F">
      <w:pPr>
        <w:ind w:left="720" w:hanging="720"/>
      </w:pPr>
      <w:r w:rsidRPr="00732A4F">
        <w:t>“Absolute vs. Relative Economic Mobility.”</w:t>
      </w:r>
      <w:r w:rsidR="00732A4F" w:rsidRPr="00732A4F">
        <w:t xml:space="preserve"> </w:t>
      </w:r>
      <w:r w:rsidR="00732A4F" w:rsidRPr="00732A4F">
        <w:rPr>
          <w:i/>
        </w:rPr>
        <w:t>YouTube</w:t>
      </w:r>
      <w:r w:rsidR="00732A4F" w:rsidRPr="00732A4F">
        <w:t>, uploaded by The Duke and the Duck, 20 February 2012,</w:t>
      </w:r>
      <w:r w:rsidRPr="00732A4F">
        <w:t xml:space="preserve"> </w:t>
      </w:r>
      <w:hyperlink r:id="rId6" w:history="1">
        <w:r w:rsidRPr="00732A4F">
          <w:rPr>
            <w:rStyle w:val="Hyperlink"/>
          </w:rPr>
          <w:t>https://www.youtube.com/watch?v=1JaxUxfoMiE</w:t>
        </w:r>
      </w:hyperlink>
    </w:p>
    <w:p w:rsidR="00732A4F" w:rsidRPr="00732A4F" w:rsidRDefault="00732A4F" w:rsidP="00732A4F">
      <w:pPr>
        <w:ind w:left="720" w:hanging="720"/>
      </w:pPr>
      <w:r w:rsidRPr="00732A4F">
        <w:rPr>
          <w:color w:val="222222"/>
          <w:shd w:val="clear" w:color="auto" w:fill="FFFFFF"/>
        </w:rPr>
        <w:t>Denzin, Norman KK. </w:t>
      </w:r>
      <w:r w:rsidRPr="00732A4F">
        <w:rPr>
          <w:i/>
          <w:iCs/>
          <w:color w:val="222222"/>
          <w:shd w:val="clear" w:color="auto" w:fill="FFFFFF"/>
        </w:rPr>
        <w:t>Images of postmodern society: Social theory and contemporary cinema</w:t>
      </w:r>
      <w:r w:rsidRPr="00732A4F">
        <w:rPr>
          <w:color w:val="222222"/>
          <w:shd w:val="clear" w:color="auto" w:fill="FFFFFF"/>
        </w:rPr>
        <w:t xml:space="preserve">. Vol. 11. Sage, 1991. </w:t>
      </w:r>
    </w:p>
    <w:p w:rsidR="00C46600" w:rsidRPr="00732A4F" w:rsidRDefault="00C46600" w:rsidP="00732A4F">
      <w:pPr>
        <w:ind w:left="720" w:hanging="720"/>
      </w:pPr>
      <w:r w:rsidRPr="00732A4F">
        <w:rPr>
          <w:color w:val="222222"/>
          <w:shd w:val="clear" w:color="auto" w:fill="FFFFFF"/>
        </w:rPr>
        <w:t>Ruane, Janet M., and Karen A. Cerulo. </w:t>
      </w:r>
      <w:r w:rsidRPr="00732A4F">
        <w:rPr>
          <w:i/>
          <w:iCs/>
          <w:color w:val="222222"/>
          <w:shd w:val="clear" w:color="auto" w:fill="FFFFFF"/>
        </w:rPr>
        <w:t>Second thoughts: seeing conventional wisdom through the sociological eye</w:t>
      </w:r>
      <w:r w:rsidRPr="00732A4F">
        <w:rPr>
          <w:color w:val="222222"/>
          <w:shd w:val="clear" w:color="auto" w:fill="FFFFFF"/>
        </w:rPr>
        <w:t xml:space="preserve">. Pine Forge Press, 2008. </w:t>
      </w:r>
      <w:r w:rsidRPr="00732A4F">
        <w:t xml:space="preserve"> </w:t>
      </w:r>
    </w:p>
    <w:p w:rsidR="00C46600" w:rsidRPr="00732A4F" w:rsidRDefault="00C46600" w:rsidP="00732A4F"/>
    <w:p w:rsidR="00C46600" w:rsidRPr="00732A4F" w:rsidRDefault="00C46600" w:rsidP="00732A4F"/>
    <w:sectPr w:rsidR="00C46600" w:rsidRPr="00732A4F" w:rsidSect="007F381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21F4" w:rsidRDefault="001721F4" w:rsidP="00C46600">
      <w:pPr>
        <w:spacing w:line="240" w:lineRule="auto"/>
      </w:pPr>
      <w:r>
        <w:separator/>
      </w:r>
    </w:p>
  </w:endnote>
  <w:endnote w:type="continuationSeparator" w:id="1">
    <w:p w:rsidR="001721F4" w:rsidRDefault="001721F4" w:rsidP="00C4660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21F4" w:rsidRDefault="001721F4" w:rsidP="00C46600">
      <w:pPr>
        <w:spacing w:line="240" w:lineRule="auto"/>
      </w:pPr>
      <w:r>
        <w:separator/>
      </w:r>
    </w:p>
  </w:footnote>
  <w:footnote w:type="continuationSeparator" w:id="1">
    <w:p w:rsidR="001721F4" w:rsidRDefault="001721F4" w:rsidP="00C4660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36281"/>
      <w:docPartObj>
        <w:docPartGallery w:val="Page Numbers (Top of Page)"/>
        <w:docPartUnique/>
      </w:docPartObj>
    </w:sdtPr>
    <w:sdtContent>
      <w:p w:rsidR="00C46600" w:rsidRDefault="00C46600">
        <w:pPr>
          <w:pStyle w:val="Header"/>
          <w:jc w:val="right"/>
        </w:pPr>
        <w:r>
          <w:t xml:space="preserve">Surname </w:t>
        </w:r>
        <w:fldSimple w:instr=" PAGE   \* MERGEFORMAT ">
          <w:r w:rsidR="00732A4F">
            <w:rPr>
              <w:noProof/>
            </w:rPr>
            <w:t>1</w:t>
          </w:r>
        </w:fldSimple>
      </w:p>
    </w:sdtContent>
  </w:sdt>
  <w:p w:rsidR="00C46600" w:rsidRDefault="00C4660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369E9"/>
    <w:rsid w:val="00055B24"/>
    <w:rsid w:val="001721F4"/>
    <w:rsid w:val="00335C10"/>
    <w:rsid w:val="004A4A52"/>
    <w:rsid w:val="00732A4F"/>
    <w:rsid w:val="007B7D6E"/>
    <w:rsid w:val="007F3814"/>
    <w:rsid w:val="008369E9"/>
    <w:rsid w:val="009B0259"/>
    <w:rsid w:val="00A662B3"/>
    <w:rsid w:val="00B54DDB"/>
    <w:rsid w:val="00C46600"/>
    <w:rsid w:val="00C61E85"/>
    <w:rsid w:val="00F81686"/>
    <w:rsid w:val="00FD58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6600"/>
    <w:rPr>
      <w:color w:val="0000FF" w:themeColor="hyperlink"/>
      <w:u w:val="single"/>
    </w:rPr>
  </w:style>
  <w:style w:type="paragraph" w:styleId="Header">
    <w:name w:val="header"/>
    <w:basedOn w:val="Normal"/>
    <w:link w:val="HeaderChar"/>
    <w:uiPriority w:val="99"/>
    <w:unhideWhenUsed/>
    <w:rsid w:val="00C46600"/>
    <w:pPr>
      <w:tabs>
        <w:tab w:val="center" w:pos="4680"/>
        <w:tab w:val="right" w:pos="9360"/>
      </w:tabs>
      <w:spacing w:line="240" w:lineRule="auto"/>
    </w:pPr>
  </w:style>
  <w:style w:type="character" w:customStyle="1" w:styleId="HeaderChar">
    <w:name w:val="Header Char"/>
    <w:basedOn w:val="DefaultParagraphFont"/>
    <w:link w:val="Header"/>
    <w:uiPriority w:val="99"/>
    <w:rsid w:val="00C46600"/>
  </w:style>
  <w:style w:type="paragraph" w:styleId="Footer">
    <w:name w:val="footer"/>
    <w:basedOn w:val="Normal"/>
    <w:link w:val="FooterChar"/>
    <w:uiPriority w:val="99"/>
    <w:semiHidden/>
    <w:unhideWhenUsed/>
    <w:rsid w:val="00C4660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4660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1JaxUxfoMi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668</Words>
  <Characters>3810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2018-03-30T02:08:00Z</dcterms:created>
  <dcterms:modified xsi:type="dcterms:W3CDTF">2018-03-30T02:08:00Z</dcterms:modified>
</cp:coreProperties>
</file>